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4454E">
      <w:pPr>
        <w:spacing w:before="75" w:line="322" w:lineRule="exact"/>
        <w:jc w:val="center"/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Комплект оценочных материалов по дисциплине</w:t>
      </w:r>
    </w:p>
    <w:p w14:paraId="331DA744">
      <w:pPr>
        <w:tabs>
          <w:tab w:val="left" w:pos="8396"/>
        </w:tabs>
        <w:spacing w:line="322" w:lineRule="exact"/>
        <w:ind w:right="1"/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«</w:t>
      </w: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Основы физики прочности и механики разрушения»</w:t>
      </w:r>
    </w:p>
    <w:p w14:paraId="25B6593C">
      <w:pPr>
        <w:tabs>
          <w:tab w:val="left" w:pos="8396"/>
        </w:tabs>
        <w:spacing w:line="322" w:lineRule="exact"/>
        <w:ind w:right="1"/>
        <w:jc w:val="center"/>
        <w:rPr>
          <w:b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</w:pPr>
    </w:p>
    <w:p w14:paraId="1D357F74">
      <w:pPr>
        <w:pStyle w:val="15"/>
        <w:ind w:right="138"/>
        <w:jc w:val="both"/>
        <w:rPr>
          <w:b/>
        </w:rPr>
      </w:pPr>
      <w:r>
        <w:rPr>
          <w:b/>
        </w:rPr>
        <w:t>Задания закрытого типа</w:t>
      </w:r>
    </w:p>
    <w:p w14:paraId="56A93CC0">
      <w:pPr>
        <w:pStyle w:val="15"/>
        <w:ind w:right="138"/>
        <w:jc w:val="both"/>
        <w:rPr>
          <w:b/>
        </w:rPr>
      </w:pPr>
    </w:p>
    <w:p w14:paraId="5D9688C6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 на выбор правильного ответа</w:t>
      </w:r>
    </w:p>
    <w:p w14:paraId="30C9F6E6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247F9FF">
      <w:pPr>
        <w:pStyle w:val="27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Выберите один правильный ответ </w:t>
      </w:r>
    </w:p>
    <w:p w14:paraId="763C0FCD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DFC9F00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</w:t>
      </w: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Что такое разрушение?</w:t>
      </w:r>
    </w:p>
    <w:p w14:paraId="5E6043CC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sz w:val="28"/>
          <w:szCs w:val="28"/>
          <w:lang w:eastAsia="ru-RU"/>
        </w:rPr>
        <w:t>процесс зарождения и развития в металле трещин</w:t>
      </w:r>
    </w:p>
    <w:p w14:paraId="155563B2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Б) </w:t>
      </w:r>
      <w:r>
        <w:rPr>
          <w:sz w:val="28"/>
          <w:szCs w:val="28"/>
          <w:lang w:eastAsia="ru-RU"/>
        </w:rPr>
        <w:t>процесс зарождения и развития в металле трещин, приводящий к разделению его на части</w:t>
      </w:r>
    </w:p>
    <w:p w14:paraId="56D7ACA1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В) </w:t>
      </w:r>
      <w:r>
        <w:rPr>
          <w:sz w:val="28"/>
          <w:szCs w:val="28"/>
          <w:lang w:eastAsia="ru-RU"/>
        </w:rPr>
        <w:t>разделение металла на части</w:t>
      </w:r>
    </w:p>
    <w:p w14:paraId="7F6C15D3">
      <w:pPr>
        <w:pStyle w:val="2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Б</w:t>
      </w:r>
    </w:p>
    <w:p w14:paraId="1221CA63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6CF4B4CB">
      <w:pPr>
        <w:ind w:firstLine="709"/>
        <w:jc w:val="both"/>
        <w:rPr>
          <w:color w:val="000000" w:themeColor="text1"/>
          <w:spacing w:val="-11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FADCA4">
      <w:pPr>
        <w:pStyle w:val="14"/>
        <w:tabs>
          <w:tab w:val="left" w:pos="708"/>
        </w:tabs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Что такое напряжение?</w:t>
      </w:r>
    </w:p>
    <w:p w14:paraId="5424B323">
      <w:pPr>
        <w:pStyle w:val="14"/>
        <w:tabs>
          <w:tab w:val="left" w:pos="708"/>
        </w:tabs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sz w:val="28"/>
          <w:szCs w:val="28"/>
        </w:rPr>
        <w:t>интенсивность воздействия внешней силы, приложенной к телу</w:t>
      </w:r>
    </w:p>
    <w:p w14:paraId="6AFF07FB">
      <w:pPr>
        <w:pStyle w:val="14"/>
        <w:tabs>
          <w:tab w:val="left" w:pos="708"/>
        </w:tabs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Б) </w:t>
      </w:r>
      <w:r>
        <w:rPr>
          <w:sz w:val="28"/>
          <w:szCs w:val="28"/>
        </w:rPr>
        <w:t>воздействия внешней силы на тело</w:t>
      </w:r>
    </w:p>
    <w:p w14:paraId="4559F0E3">
      <w:pPr>
        <w:pStyle w:val="14"/>
        <w:tabs>
          <w:tab w:val="left" w:pos="708"/>
        </w:tabs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В) </w:t>
      </w:r>
      <w:r>
        <w:rPr>
          <w:sz w:val="28"/>
          <w:szCs w:val="28"/>
        </w:rPr>
        <w:t>взаимодействие двух тел</w:t>
      </w:r>
    </w:p>
    <w:p w14:paraId="18FBDE0F">
      <w:pPr>
        <w:pStyle w:val="14"/>
        <w:tabs>
          <w:tab w:val="left" w:pos="708"/>
        </w:tabs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 А</w:t>
      </w:r>
    </w:p>
    <w:p w14:paraId="60DCEEBE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52577011">
      <w:pPr>
        <w:ind w:firstLine="709"/>
        <w:jc w:val="both"/>
        <w:rPr>
          <w:color w:val="000000" w:themeColor="text1"/>
          <w:spacing w:val="-11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F12D8D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Что такое плотность дислокаций?</w:t>
      </w:r>
    </w:p>
    <w:p w14:paraId="16042E1E">
      <w:pPr>
        <w:pStyle w:val="14"/>
        <w:tabs>
          <w:tab w:val="clear" w:pos="4677"/>
          <w:tab w:val="clear" w:pos="9355"/>
        </w:tabs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sz w:val="28"/>
          <w:szCs w:val="28"/>
        </w:rPr>
        <w:t>число</w:t>
      </w:r>
      <w:r>
        <w:rPr>
          <w:sz w:val="40"/>
          <w:szCs w:val="40"/>
        </w:rPr>
        <w:t xml:space="preserve"> </w:t>
      </w:r>
      <w:r>
        <w:rPr>
          <w:sz w:val="28"/>
          <w:szCs w:val="28"/>
        </w:rPr>
        <w:t>дислокационных линий, пересекаю</w:t>
      </w:r>
      <w:r>
        <w:rPr>
          <w:sz w:val="28"/>
          <w:szCs w:val="28"/>
        </w:rPr>
        <w:softHyphen/>
      </w:r>
      <w:r>
        <w:rPr>
          <w:sz w:val="28"/>
          <w:szCs w:val="28"/>
        </w:rPr>
        <w:t>щих единичную площадь кристалла</w:t>
      </w:r>
    </w:p>
    <w:p w14:paraId="285F5B35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количество дислокационных линий</w:t>
      </w:r>
    </w:p>
    <w:p w14:paraId="470A6CA7">
      <w:pPr>
        <w:pStyle w:val="1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В) </w:t>
      </w:r>
      <w:r>
        <w:rPr>
          <w:sz w:val="28"/>
          <w:szCs w:val="28"/>
        </w:rPr>
        <w:t>количество дислокаций в единице объема</w:t>
      </w:r>
    </w:p>
    <w:p w14:paraId="6F45BBF7">
      <w:pPr>
        <w:pStyle w:val="18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А</w:t>
      </w:r>
    </w:p>
    <w:p w14:paraId="0D722CD9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ПК-6</w:t>
      </w:r>
    </w:p>
    <w:p w14:paraId="7527ACB3">
      <w:pPr>
        <w:pStyle w:val="18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39BDA08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 на установление соответствия</w:t>
      </w:r>
    </w:p>
    <w:p w14:paraId="76E5F1AE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3AB5510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Установите правильное соответствие. </w:t>
      </w:r>
    </w:p>
    <w:p w14:paraId="159FFB02">
      <w:pPr>
        <w:jc w:val="both"/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Каждому элементу левого столбца соответствует только один элемент правого столбца.</w:t>
      </w:r>
    </w:p>
    <w:p w14:paraId="067B9137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E7491AC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Установите соответствие между основными физическими процессами в металле: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9"/>
        <w:gridCol w:w="5324"/>
      </w:tblGrid>
      <w:tr w14:paraId="11BCB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1F62C38A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Характеристики </w:t>
            </w:r>
          </w:p>
        </w:tc>
        <w:tc>
          <w:tcPr>
            <w:tcW w:w="5324" w:type="dxa"/>
          </w:tcPr>
          <w:p w14:paraId="069FD833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12C48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6D7FBFEF">
            <w:pPr>
              <w:jc w:val="both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1) </w:t>
            </w:r>
            <w:r>
              <w:rPr>
                <w:rFonts w:eastAsia="TimesNewRoman"/>
                <w:sz w:val="28"/>
                <w:szCs w:val="28"/>
              </w:rPr>
              <w:t xml:space="preserve">Что такое источники дислокаций? </w:t>
            </w:r>
          </w:p>
        </w:tc>
        <w:tc>
          <w:tcPr>
            <w:tcW w:w="5324" w:type="dxa"/>
          </w:tcPr>
          <w:p w14:paraId="5C89262F">
            <w:pPr>
              <w:widowControl/>
              <w:adjustRightInd w:val="0"/>
              <w:jc w:val="both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А) с</w:t>
            </w:r>
            <w:r>
              <w:rPr>
                <w:sz w:val="28"/>
                <w:szCs w:val="28"/>
              </w:rPr>
              <w:t>овокупность явлений, связанных с изменением механических и физико-химических свойств материала в процессе пластической деформации</w:t>
            </w:r>
          </w:p>
        </w:tc>
      </w:tr>
      <w:tr w14:paraId="03772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4EF40980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2) Что такое упрочнение?</w:t>
            </w:r>
          </w:p>
        </w:tc>
        <w:tc>
          <w:tcPr>
            <w:tcW w:w="5324" w:type="dxa"/>
          </w:tcPr>
          <w:p w14:paraId="2BDCF036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NewRoman"/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</w:rPr>
              <w:t>зарождения и размножения дислокаций.</w:t>
            </w:r>
            <w:r>
              <w:rPr>
                <w:bCs/>
                <w:spacing w:val="-4"/>
                <w:sz w:val="28"/>
                <w:szCs w:val="28"/>
              </w:rPr>
              <w:t xml:space="preserve"> </w:t>
            </w:r>
          </w:p>
        </w:tc>
      </w:tr>
      <w:tr w14:paraId="167ED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18C163C6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3) </w:t>
            </w:r>
            <w:r>
              <w:rPr>
                <w:bCs/>
                <w:color w:val="000000"/>
                <w:sz w:val="28"/>
                <w:szCs w:val="28"/>
                <w:lang w:eastAsia="ru-RU"/>
              </w:rPr>
              <w:t>Что такое коэффициент интенсивности напряжений</w:t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?</w:t>
            </w:r>
          </w:p>
        </w:tc>
        <w:tc>
          <w:tcPr>
            <w:tcW w:w="5324" w:type="dxa"/>
          </w:tcPr>
          <w:p w14:paraId="7AF9AA99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В) </w:t>
            </w:r>
            <w:r>
              <w:rPr>
                <w:bCs/>
                <w:iCs/>
                <w:color w:val="000000"/>
                <w:sz w:val="28"/>
                <w:szCs w:val="28"/>
              </w:rPr>
              <w:t>коэффициент,</w:t>
            </w:r>
            <w:r>
              <w:rPr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обозначающий тип разрушения</w:t>
            </w:r>
          </w:p>
        </w:tc>
      </w:tr>
    </w:tbl>
    <w:p w14:paraId="7DF39623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</w:tblGrid>
      <w:tr w14:paraId="5484A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08" w:type="dxa"/>
          </w:tcPr>
          <w:p w14:paraId="2C0B41C6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8" w:type="dxa"/>
          </w:tcPr>
          <w:p w14:paraId="3EF595C3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08" w:type="dxa"/>
          </w:tcPr>
          <w:p w14:paraId="13A7004E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47E8E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4C73CA13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1408" w:type="dxa"/>
          </w:tcPr>
          <w:p w14:paraId="11DB46EE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1408" w:type="dxa"/>
          </w:tcPr>
          <w:p w14:paraId="432EBD92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</w:tr>
    </w:tbl>
    <w:p w14:paraId="280A4400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ПК-6, ПК-7</w:t>
      </w:r>
    </w:p>
    <w:p w14:paraId="1B5B6D43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3114CE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Установите соответствие между названием характеристиками величин и физическим смыслом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5386"/>
      </w:tblGrid>
      <w:tr w14:paraId="019A2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71650EB8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Величина</w:t>
            </w:r>
          </w:p>
        </w:tc>
        <w:tc>
          <w:tcPr>
            <w:tcW w:w="5386" w:type="dxa"/>
          </w:tcPr>
          <w:p w14:paraId="459D6CD5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16A77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43551BA5">
            <w:pPr>
              <w:pStyle w:val="20"/>
              <w:spacing w:after="0" w:line="240" w:lineRule="auto"/>
              <w:ind w:left="0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1) </w:t>
            </w:r>
            <w:r>
              <w:rPr>
                <w:sz w:val="28"/>
                <w:szCs w:val="28"/>
              </w:rPr>
              <w:t xml:space="preserve">шаровой тензор  </w:t>
            </w:r>
          </w:p>
        </w:tc>
        <w:tc>
          <w:tcPr>
            <w:tcW w:w="5386" w:type="dxa"/>
          </w:tcPr>
          <w:p w14:paraId="4F8CF5B0">
            <w:pPr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  <w:szCs w:val="28"/>
              </w:rPr>
              <w:t>А) мера сдвига кристаллической решетки;</w:t>
            </w:r>
          </w:p>
        </w:tc>
      </w:tr>
      <w:tr w14:paraId="7A9E4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680157F8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2) </w:t>
            </w:r>
            <w:r>
              <w:rPr>
                <w:sz w:val="28"/>
                <w:szCs w:val="28"/>
              </w:rPr>
              <w:t>внутрикристаллитная деформация</w:t>
            </w:r>
          </w:p>
        </w:tc>
        <w:tc>
          <w:tcPr>
            <w:tcW w:w="5386" w:type="dxa"/>
          </w:tcPr>
          <w:p w14:paraId="57A110D4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Б) среднее нормальное напряжение</w:t>
            </w:r>
          </w:p>
        </w:tc>
      </w:tr>
      <w:tr w14:paraId="6C3F2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4361" w:type="dxa"/>
          </w:tcPr>
          <w:p w14:paraId="11BA4FEB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3) вектор Бюргерса</w:t>
            </w:r>
          </w:p>
        </w:tc>
        <w:tc>
          <w:tcPr>
            <w:tcW w:w="5386" w:type="dxa"/>
          </w:tcPr>
          <w:p w14:paraId="294ACDE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В) деформация, происходящая внутри зерна</w:t>
            </w:r>
          </w:p>
        </w:tc>
      </w:tr>
      <w:tr w14:paraId="75F0F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13F386E4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  <w:szCs w:val="28"/>
              </w:rPr>
              <w:t>4) концентрация</w:t>
            </w:r>
          </w:p>
        </w:tc>
        <w:tc>
          <w:tcPr>
            <w:tcW w:w="5386" w:type="dxa"/>
          </w:tcPr>
          <w:p w14:paraId="38D2DC90">
            <w:pPr>
              <w:pStyle w:val="15"/>
              <w:spacing w:before="1"/>
              <w:ind w:right="227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t>Г) геометрическое место точек температур конца кристаллизации (или начала плавления) твёрдой фазы</w:t>
            </w:r>
          </w:p>
        </w:tc>
      </w:tr>
    </w:tbl>
    <w:p w14:paraId="1F17AD72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409"/>
        <w:gridCol w:w="1288"/>
        <w:gridCol w:w="1418"/>
      </w:tblGrid>
      <w:tr w14:paraId="2CFD1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9" w:type="dxa"/>
          </w:tcPr>
          <w:p w14:paraId="2F4678EB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9" w:type="dxa"/>
          </w:tcPr>
          <w:p w14:paraId="31F06A3A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88" w:type="dxa"/>
          </w:tcPr>
          <w:p w14:paraId="317BAB6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8" w:type="dxa"/>
          </w:tcPr>
          <w:p w14:paraId="7D555003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16292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  <w:jc w:val="center"/>
        </w:trPr>
        <w:tc>
          <w:tcPr>
            <w:tcW w:w="1409" w:type="dxa"/>
          </w:tcPr>
          <w:p w14:paraId="397221F2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1409" w:type="dxa"/>
          </w:tcPr>
          <w:p w14:paraId="0EDDD1E3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  <w:tc>
          <w:tcPr>
            <w:tcW w:w="1288" w:type="dxa"/>
          </w:tcPr>
          <w:p w14:paraId="39472ABB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1418" w:type="dxa"/>
          </w:tcPr>
          <w:p w14:paraId="7FD3758C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Г</w:t>
            </w:r>
          </w:p>
        </w:tc>
      </w:tr>
    </w:tbl>
    <w:p w14:paraId="168A48B7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7D241D63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1351FF6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Установите соответствие между механизмами разрушения:</w:t>
      </w:r>
    </w:p>
    <w:tbl>
      <w:tblPr>
        <w:tblStyle w:val="21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5528"/>
      </w:tblGrid>
      <w:tr w14:paraId="5B1F8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0" w:type="dxa"/>
          </w:tcPr>
          <w:p w14:paraId="2E692402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Вид разрушения</w:t>
            </w:r>
          </w:p>
        </w:tc>
        <w:tc>
          <w:tcPr>
            <w:tcW w:w="5528" w:type="dxa"/>
          </w:tcPr>
          <w:p w14:paraId="3999683D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Механизм</w:t>
            </w:r>
          </w:p>
        </w:tc>
      </w:tr>
      <w:tr w14:paraId="731A2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0" w:type="dxa"/>
          </w:tcPr>
          <w:p w14:paraId="3687D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вязкое</w:t>
            </w:r>
          </w:p>
        </w:tc>
        <w:tc>
          <w:tcPr>
            <w:tcW w:w="5528" w:type="dxa"/>
          </w:tcPr>
          <w:p w14:paraId="1744B5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межкристаллитный и внутрикристаллитный;</w:t>
            </w:r>
          </w:p>
        </w:tc>
      </w:tr>
      <w:tr w14:paraId="31AFA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0" w:type="dxa"/>
          </w:tcPr>
          <w:p w14:paraId="755A68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хрупкое</w:t>
            </w:r>
          </w:p>
        </w:tc>
        <w:tc>
          <w:tcPr>
            <w:tcW w:w="5528" w:type="dxa"/>
          </w:tcPr>
          <w:p w14:paraId="166DA4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предшествует пластическая деформация;</w:t>
            </w:r>
          </w:p>
        </w:tc>
      </w:tr>
      <w:tr w14:paraId="7AE59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0" w:type="dxa"/>
          </w:tcPr>
          <w:p w14:paraId="44F58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смешанное</w:t>
            </w:r>
          </w:p>
        </w:tc>
        <w:tc>
          <w:tcPr>
            <w:tcW w:w="5528" w:type="dxa"/>
          </w:tcPr>
          <w:p w14:paraId="6273BB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пластическая деформация отсутствует.</w:t>
            </w:r>
          </w:p>
          <w:p w14:paraId="012FB418">
            <w:pPr>
              <w:rPr>
                <w:sz w:val="28"/>
                <w:szCs w:val="28"/>
              </w:rPr>
            </w:pPr>
          </w:p>
        </w:tc>
      </w:tr>
    </w:tbl>
    <w:p w14:paraId="4D1EF439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564"/>
        <w:gridCol w:w="992"/>
      </w:tblGrid>
      <w:tr w14:paraId="0C633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1F5EC46A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64" w:type="dxa"/>
          </w:tcPr>
          <w:p w14:paraId="55AD0516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92" w:type="dxa"/>
          </w:tcPr>
          <w:p w14:paraId="6AB92AC9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75FC8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59C9186A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1564" w:type="dxa"/>
          </w:tcPr>
          <w:p w14:paraId="0C892519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  <w:tc>
          <w:tcPr>
            <w:tcW w:w="992" w:type="dxa"/>
          </w:tcPr>
          <w:p w14:paraId="0CEACB71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</w:tr>
    </w:tbl>
    <w:p w14:paraId="2409C32B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5F986100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47CF71E">
      <w:pPr>
        <w:pStyle w:val="14"/>
        <w:tabs>
          <w:tab w:val="left" w:pos="708"/>
          <w:tab w:val="left" w:pos="3402"/>
        </w:tabs>
        <w:jc w:val="both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sz w:val="28"/>
          <w:szCs w:val="28"/>
        </w:rPr>
        <w:t xml:space="preserve">Задания </w:t>
      </w: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закрытого типа на установление правильной последовательности </w:t>
      </w:r>
    </w:p>
    <w:p w14:paraId="23AE165C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F4B777E">
      <w:pPr>
        <w:pStyle w:val="27"/>
        <w:rPr>
          <w:rFonts w:ascii="Times New Roman" w:hAnsi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Установите правильную последовательность. </w:t>
      </w:r>
    </w:p>
    <w:p w14:paraId="0F426CE6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Запишите правильную последовательность букв слева направо. </w:t>
      </w:r>
    </w:p>
    <w:p w14:paraId="35A49ABE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D5C628A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Расположите в правильном порядке </w:t>
      </w:r>
      <w:r>
        <w:rPr>
          <w:sz w:val="28"/>
          <w:szCs w:val="28"/>
          <w:lang w:eastAsia="ru-RU"/>
        </w:rPr>
        <w:t>методику построения кривых течения в логарифмических координатах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:</w:t>
      </w:r>
    </w:p>
    <w:p w14:paraId="2872919C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) </w:t>
      </w:r>
      <w:r>
        <w:rPr>
          <w:sz w:val="28"/>
          <w:szCs w:val="28"/>
          <w:lang w:eastAsia="ru-RU"/>
        </w:rPr>
        <w:t>взять логарифмические шкалы</w:t>
      </w:r>
    </w:p>
    <w:p w14:paraId="72402F3C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Б) </w:t>
      </w:r>
      <w:r>
        <w:rPr>
          <w:sz w:val="28"/>
          <w:szCs w:val="28"/>
          <w:lang w:eastAsia="ru-RU"/>
        </w:rPr>
        <w:t>получить три прямолинейных участка</w:t>
      </w:r>
    </w:p>
    <w:p w14:paraId="727694EA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В) </w:t>
      </w:r>
      <w:r>
        <w:rPr>
          <w:sz w:val="28"/>
          <w:szCs w:val="28"/>
          <w:lang w:eastAsia="ru-RU"/>
        </w:rPr>
        <w:t>нанести логарифмы значений напряжений</w:t>
      </w:r>
    </w:p>
    <w:p w14:paraId="7BEB4562">
      <w:pPr>
        <w:ind w:firstLine="709"/>
        <w:jc w:val="both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Г) </w:t>
      </w:r>
      <w:r>
        <w:rPr>
          <w:sz w:val="28"/>
          <w:szCs w:val="28"/>
          <w:lang w:eastAsia="ru-RU"/>
        </w:rPr>
        <w:t>нанести логарифмы значений деформаций</w:t>
      </w:r>
    </w:p>
    <w:p w14:paraId="201C423A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А, В, Г, Б</w:t>
      </w:r>
    </w:p>
    <w:p w14:paraId="2E59312F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0B4598E6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E3BC5BE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Расположите в правильном порядке виды механического разрушения </w:t>
      </w:r>
      <w:r>
        <w:rPr>
          <w:sz w:val="28"/>
          <w:szCs w:val="28"/>
        </w:rPr>
        <w:t>по характеру силового воздействия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:</w:t>
      </w:r>
    </w:p>
    <w:p w14:paraId="71AB5735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sz w:val="28"/>
          <w:szCs w:val="28"/>
        </w:rPr>
        <w:t>период изменяющейся нагрузки соизмерим с периодом разрушения</w:t>
      </w:r>
    </w:p>
    <w:p w14:paraId="320A2C83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Б) </w:t>
      </w:r>
      <w:r>
        <w:rPr>
          <w:sz w:val="28"/>
          <w:szCs w:val="28"/>
        </w:rPr>
        <w:t>нагрузка монотонно изменяется</w:t>
      </w:r>
    </w:p>
    <w:p w14:paraId="6CC5CE67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</w:t>
      </w:r>
      <w:r>
        <w:rPr>
          <w:sz w:val="28"/>
          <w:szCs w:val="28"/>
        </w:rPr>
        <w:t xml:space="preserve"> нагрузка периодически и многократно изменяется в процессе разрушения</w:t>
      </w:r>
    </w:p>
    <w:p w14:paraId="2EB60F0F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Б, А, В</w:t>
      </w:r>
    </w:p>
    <w:p w14:paraId="329C9427">
      <w:pPr>
        <w:pStyle w:val="20"/>
        <w:spacing w:after="0" w:line="240" w:lineRule="auto"/>
        <w:ind w:left="0" w:firstLine="709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73E5897E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5810D89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>3. 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Расположите в правильном порядке </w:t>
      </w:r>
      <w:r>
        <w:rPr>
          <w:sz w:val="28"/>
          <w:szCs w:val="28"/>
        </w:rPr>
        <w:t>стадийность механизмов разрушения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:</w:t>
      </w:r>
    </w:p>
    <w:p w14:paraId="7387BEB5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инкубационный</w:t>
      </w:r>
    </w:p>
    <w:p w14:paraId="1F05C7D0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ускоренный</w:t>
      </w:r>
    </w:p>
    <w:p w14:paraId="1D33EC8D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стадия торможения</w:t>
      </w:r>
    </w:p>
    <w:p w14:paraId="211A2D41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Г) стационарный</w:t>
      </w:r>
    </w:p>
    <w:p w14:paraId="29BD55AA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А, В, Г, Б</w:t>
      </w:r>
    </w:p>
    <w:p w14:paraId="39D71213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129390ED">
      <w:pPr>
        <w:jc w:val="both"/>
        <w:rPr>
          <w:sz w:val="28"/>
          <w:szCs w:val="28"/>
        </w:rPr>
      </w:pPr>
    </w:p>
    <w:p w14:paraId="73C52392">
      <w:pPr>
        <w:pStyle w:val="18"/>
        <w:spacing w:before="0" w:beforeAutospacing="0" w:after="0" w:afterAutospacing="0"/>
        <w:ind w:right="138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0809540E">
      <w:pPr>
        <w:pStyle w:val="18"/>
        <w:spacing w:before="0" w:beforeAutospacing="0" w:after="0" w:afterAutospacing="0"/>
        <w:ind w:right="138"/>
        <w:jc w:val="both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14:paraId="48F88D06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на дополнение </w:t>
      </w:r>
    </w:p>
    <w:p w14:paraId="14D6B2FF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AE26C17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Напишите пропущенное слово (словосочетание).</w:t>
      </w:r>
    </w:p>
    <w:p w14:paraId="5523E31A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0E97593">
      <w:pPr>
        <w:pStyle w:val="15"/>
        <w:ind w:right="112" w:firstLine="709"/>
        <w:jc w:val="both"/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  <w:t xml:space="preserve">1. _________________ – </w:t>
      </w:r>
      <w:r>
        <w:t xml:space="preserve">разделение образца на две части при приложении силы. </w:t>
      </w:r>
    </w:p>
    <w:p w14:paraId="103AA813">
      <w:pPr>
        <w:pStyle w:val="15"/>
        <w:ind w:right="112" w:firstLine="709"/>
        <w:jc w:val="both"/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t>Разрушение</w:t>
      </w:r>
    </w:p>
    <w:p w14:paraId="23BF27E7">
      <w:pPr>
        <w:pStyle w:val="23"/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ПК-1</w:t>
      </w:r>
    </w:p>
    <w:p w14:paraId="67C8BBE6">
      <w:pPr>
        <w:pStyle w:val="23"/>
        <w:ind w:firstLine="709"/>
        <w:rPr>
          <w:rFonts w:eastAsia="TimesNew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9006AD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______________ – частичное отделение одной части тела относительно другой</w:t>
      </w:r>
      <w:r>
        <w:rPr>
          <w:bCs/>
          <w:spacing w:val="-6"/>
          <w:sz w:val="28"/>
          <w:szCs w:val="28"/>
        </w:rPr>
        <w:t xml:space="preserve">.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 w14:paraId="426D8299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Смещение</w:t>
      </w:r>
    </w:p>
    <w:p w14:paraId="6490449A">
      <w:pPr>
        <w:pStyle w:val="23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249DE3FC">
      <w:pPr>
        <w:pStyle w:val="23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4429452">
      <w:pPr>
        <w:pStyle w:val="23"/>
        <w:ind w:firstLine="709"/>
        <w:jc w:val="both"/>
        <w:rPr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Style w:val="8"/>
          <w:b w:val="0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3. _______________ – энергия, приходящаяся на единицу поверхности раздела образца.</w:t>
      </w:r>
    </w:p>
    <w:p w14:paraId="1D3F4996">
      <w:pPr>
        <w:ind w:firstLine="709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rStyle w:val="8"/>
          <w:b w:val="0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Поверхностная энергия</w:t>
      </w:r>
    </w:p>
    <w:p w14:paraId="153288BB">
      <w:pPr>
        <w:pStyle w:val="23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19956103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E5F7C8B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с кратким свободным ответом </w:t>
      </w:r>
    </w:p>
    <w:p w14:paraId="14ECEC26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7DBD2D5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Напишите пропущенное слово (словосочетание). </w:t>
      </w:r>
    </w:p>
    <w:p w14:paraId="4D5B3698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___________________– </w:t>
      </w:r>
      <w:r>
        <w:rPr>
          <w:sz w:val="28"/>
          <w:szCs w:val="28"/>
        </w:rPr>
        <w:t>область у вершины трещины, где напряжения превышают предел текучести</w:t>
      </w:r>
      <w:r>
        <w:rPr>
          <w:sz w:val="20"/>
          <w:szCs w:val="20"/>
        </w:rPr>
        <w:t xml:space="preserve">.  </w:t>
      </w:r>
    </w:p>
    <w:p w14:paraId="6325D52F">
      <w:pPr>
        <w:ind w:firstLine="709"/>
        <w:jc w:val="both"/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Пластическая зона</w:t>
      </w:r>
      <w:r>
        <w:rPr>
          <w:sz w:val="28"/>
          <w:szCs w:val="28"/>
        </w:rPr>
        <w:t>/ Удлинение</w:t>
      </w:r>
    </w:p>
    <w:p w14:paraId="6E555BD7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6CEFA70C">
      <w:pPr>
        <w:ind w:firstLine="709"/>
        <w:jc w:val="both"/>
        <w:rPr>
          <w:sz w:val="24"/>
          <w:szCs w:val="24"/>
        </w:rPr>
      </w:pPr>
    </w:p>
    <w:p w14:paraId="6B4EA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2.___________________ – величина, определяющая напряженно-деформированное состояние и смещения вблизи трещины для упругого тела независимо от схемы нагружения, формы и размеров тела и трещины.</w:t>
      </w:r>
    </w:p>
    <w:p w14:paraId="451D7218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Коэффициент интенсивности напряжений/Предел</w:t>
      </w:r>
    </w:p>
    <w:p w14:paraId="0815026C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4C8E9D4E">
      <w:pPr>
        <w:ind w:firstLine="709"/>
        <w:jc w:val="both"/>
        <w:rPr>
          <w:sz w:val="24"/>
          <w:szCs w:val="24"/>
        </w:rPr>
      </w:pPr>
    </w:p>
    <w:p w14:paraId="6F1B1737">
      <w:pPr>
        <w:ind w:firstLine="709"/>
        <w:jc w:val="both"/>
        <w:rPr>
          <w:sz w:val="20"/>
          <w:szCs w:val="20"/>
        </w:rPr>
      </w:pPr>
      <w:r>
        <w:rPr>
          <w:sz w:val="28"/>
          <w:szCs w:val="28"/>
        </w:rPr>
        <w:t>3. _____________________ – фаза, в которой один из компонентов сплава сохраняет свою кристаллическую решетку, а атомы другого располагаются в решетке первого компонента, изменяя ее размеры.</w:t>
      </w:r>
      <w:r>
        <w:rPr>
          <w:sz w:val="20"/>
          <w:szCs w:val="20"/>
        </w:rPr>
        <w:t xml:space="preserve"> </w:t>
      </w:r>
    </w:p>
    <w:p w14:paraId="3EC3504D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sz w:val="28"/>
          <w:szCs w:val="28"/>
        </w:rPr>
        <w:t>Твердый раствор/ Фаза</w:t>
      </w:r>
    </w:p>
    <w:p w14:paraId="15EDE73D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</w:t>
      </w:r>
    </w:p>
    <w:p w14:paraId="30558291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8A0623">
      <w:pPr>
        <w:pStyle w:val="27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с развернутым ответом </w:t>
      </w:r>
    </w:p>
    <w:p w14:paraId="404A2DFF">
      <w:pPr>
        <w:tabs>
          <w:tab w:val="left" w:pos="1109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0989B12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О</w:t>
      </w:r>
      <w:r>
        <w:rPr>
          <w:color w:val="000000"/>
          <w:sz w:val="28"/>
          <w:szCs w:val="28"/>
          <w:lang w:eastAsia="ru-RU"/>
        </w:rPr>
        <w:t>пределить вид излома при контактной усталости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79F2A85F">
      <w:pPr>
        <w:jc w:val="center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0"/>
          <w:szCs w:val="20"/>
          <w:lang w:eastAsia="ru-RU"/>
        </w:rPr>
        <w:drawing>
          <wp:inline distT="0" distB="0" distL="0" distR="0">
            <wp:extent cx="2483485" cy="1148715"/>
            <wp:effectExtent l="0" t="0" r="0" b="0"/>
            <wp:docPr id="30" name="Рисунок 30" descr="File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 descr="File014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28" b="29078"/>
                    <a:stretch>
                      <a:fillRect/>
                    </a:stretch>
                  </pic:blipFill>
                  <pic:spPr>
                    <a:xfrm>
                      <a:off x="0" y="0"/>
                      <a:ext cx="2553455" cy="1181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sz w:val="20"/>
          <w:szCs w:val="20"/>
          <w:lang w:eastAsia="ru-RU"/>
        </w:rPr>
        <w:drawing>
          <wp:inline distT="0" distB="0" distL="0" distR="0">
            <wp:extent cx="1409700" cy="1256030"/>
            <wp:effectExtent l="0" t="0" r="0" b="1270"/>
            <wp:docPr id="36" name="Рисунок 36" descr="File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 descr="File014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6000"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2360" cy="126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8DB1E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                                                      б</w:t>
      </w:r>
    </w:p>
    <w:p w14:paraId="1355B3F2">
      <w:pPr>
        <w:pStyle w:val="27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Привести расширенный ответ. </w:t>
      </w:r>
    </w:p>
    <w:p w14:paraId="111084BF">
      <w:pPr>
        <w:pStyle w:val="27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10 мин. </w:t>
      </w:r>
    </w:p>
    <w:p w14:paraId="4321BA9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Критерии оценивания: полное содержательное соответствие приведенному ниже пояснению: </w:t>
      </w:r>
    </w:p>
    <w:p w14:paraId="684A7CE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Контактное усталостное разрушение – а</w:t>
      </w:r>
      <w:r>
        <w:rPr>
          <w:spacing w:val="62"/>
          <w:sz w:val="28"/>
          <w:szCs w:val="28"/>
        </w:rPr>
        <w:t>,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питтинг, заключается в выкрашивании материала с поверхности контакти</w:t>
      </w:r>
      <w:r>
        <w:rPr>
          <w:spacing w:val="-1"/>
          <w:sz w:val="28"/>
          <w:szCs w:val="28"/>
        </w:rPr>
        <w:t xml:space="preserve">рующихся деталей, имеющих значительные взаимные перемещения </w:t>
      </w:r>
      <w:r>
        <w:rPr>
          <w:sz w:val="28"/>
          <w:szCs w:val="28"/>
        </w:rPr>
        <w:t>(подшипники качения и скольжения, зубья зубчатых колес, поверх</w:t>
      </w:r>
      <w:r>
        <w:rPr>
          <w:sz w:val="28"/>
          <w:szCs w:val="28"/>
        </w:rPr>
        <w:softHyphen/>
      </w:r>
      <w:r>
        <w:rPr>
          <w:sz w:val="28"/>
          <w:szCs w:val="28"/>
        </w:rPr>
        <w:t>ности катания бандажей и головок рельсов и т. п.). Питтинг образуется только на отстающей, но не на опережающей поверхности</w:t>
      </w:r>
    </w:p>
    <w:p w14:paraId="349A5C4D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>Выкрашивание – б образуется там, где направление силы трения и направление перемещения точки контакта взаимно противопо</w:t>
      </w:r>
      <w:r>
        <w:rPr>
          <w:sz w:val="28"/>
          <w:szCs w:val="28"/>
        </w:rPr>
        <w:softHyphen/>
      </w:r>
      <w:r>
        <w:rPr>
          <w:sz w:val="28"/>
          <w:szCs w:val="28"/>
        </w:rPr>
        <w:t xml:space="preserve">ложны, таким образом, при скольжении двух цилиндрических поверхностей, перекатывающихся друг по другу. </w:t>
      </w:r>
    </w:p>
    <w:p w14:paraId="3DD71454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ОПК-3, ПК-6.1, ПК-7</w:t>
      </w:r>
    </w:p>
    <w:p w14:paraId="5393C7DE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E476685">
      <w:pPr>
        <w:widowControl/>
        <w:autoSpaceDE/>
        <w:autoSpaceDN/>
        <w:ind w:firstLine="709"/>
        <w:jc w:val="both"/>
        <w:rPr>
          <w:sz w:val="1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sz w:val="28"/>
          <w:szCs w:val="28"/>
        </w:rPr>
        <w:t xml:space="preserve">Приближенно оцените энергию образования вакансий в меди, имеющей ГЦК решетку, если экспериментально определенная равновесная концентрация вакансий при 927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 равна 10</w:t>
      </w:r>
      <w:r>
        <w:rPr>
          <w:sz w:val="28"/>
          <w:szCs w:val="28"/>
          <w:vertAlign w:val="superscript"/>
        </w:rPr>
        <w:t>-5</w:t>
      </w:r>
      <w:r>
        <w:rPr>
          <w:sz w:val="28"/>
          <w:szCs w:val="28"/>
        </w:rPr>
        <w:t xml:space="preserve">, температура плавления меди 1084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С.</w:t>
      </w:r>
    </w:p>
    <w:p w14:paraId="0D26D6ED">
      <w:pPr>
        <w:pStyle w:val="27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Привести расширенный ответ. </w:t>
      </w:r>
    </w:p>
    <w:p w14:paraId="09DA0A47">
      <w:pPr>
        <w:pStyle w:val="27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20 мин. </w:t>
      </w:r>
    </w:p>
    <w:p w14:paraId="7C60299B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Критерии оценивания: полное содержательное соответствие приведенному ниже пояснению: </w:t>
      </w:r>
    </w:p>
    <w:p w14:paraId="54B040D1">
      <w:pPr>
        <w:shd w:val="clear" w:color="auto" w:fill="FFFFFF"/>
        <w:ind w:left="11" w:right="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Энергию образования вакансий </w:t>
      </w:r>
      <w:r>
        <w:rPr>
          <w:position w:val="-10"/>
          <w:sz w:val="28"/>
          <w:szCs w:val="28"/>
        </w:rPr>
        <w:object>
          <v:shape id="_x0000_i1025" o:spt="75" type="#_x0000_t75" style="height:14.9pt;width:13.6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7">
            <o:LockedField>false</o:LockedField>
          </o:OLEObject>
        </w:object>
      </w:r>
      <w:r>
        <w:rPr>
          <w:sz w:val="28"/>
          <w:szCs w:val="28"/>
        </w:rPr>
        <w:t xml:space="preserve"> можно приближенно оценить, исходя из эмпирического соотношения между </w:t>
      </w:r>
      <w:r>
        <w:rPr>
          <w:position w:val="-10"/>
          <w:sz w:val="28"/>
          <w:szCs w:val="28"/>
        </w:rPr>
        <w:object>
          <v:shape id="_x0000_i1026" o:spt="75" type="#_x0000_t75" style="height:14.9pt;width:13.6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9">
            <o:LockedField>false</o:LockedField>
          </o:OLEObject>
        </w:object>
      </w:r>
      <w:r>
        <w:rPr>
          <w:sz w:val="28"/>
          <w:szCs w:val="28"/>
        </w:rPr>
        <w:t xml:space="preserve"> и </w:t>
      </w:r>
      <w:r>
        <w:rPr>
          <w:position w:val="-12"/>
          <w:sz w:val="28"/>
          <w:szCs w:val="28"/>
        </w:rPr>
        <w:object>
          <v:shape id="_x0000_i1027" o:spt="75" type="#_x0000_t75" style="height:16.15pt;width:18.6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1">
            <o:LockedField>false</o:LockedField>
          </o:OLEObject>
        </w:object>
      </w:r>
      <w:r>
        <w:rPr>
          <w:sz w:val="28"/>
          <w:szCs w:val="28"/>
        </w:rPr>
        <w:t xml:space="preserve"> - энергия  активации самодиффузии, которая определяет температурную зависимость коэффициента диффузии:</w:t>
      </w:r>
      <w:r>
        <w:rPr>
          <w:position w:val="-12"/>
          <w:sz w:val="28"/>
          <w:szCs w:val="28"/>
        </w:rPr>
        <w:object>
          <v:shape id="_x0000_i1028" o:spt="75" type="#_x0000_t75" style="height:16.15pt;width:96.85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3">
            <o:LockedField>false</o:LockedField>
          </o:OLEObject>
        </w:object>
      </w:r>
      <w:r>
        <w:rPr>
          <w:sz w:val="28"/>
          <w:szCs w:val="28"/>
        </w:rPr>
        <w:t xml:space="preserve">. У ГЦК металлов </w:t>
      </w:r>
      <w:r>
        <w:rPr>
          <w:position w:val="-10"/>
          <w:sz w:val="28"/>
          <w:szCs w:val="28"/>
        </w:rPr>
        <w:object>
          <v:shape id="_x0000_i1029" o:spt="75" type="#_x0000_t75" style="height:14.9pt;width:13.6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5">
            <o:LockedField>false</o:LockedField>
          </o:OLEObject>
        </w:object>
      </w:r>
      <w:r>
        <w:rPr>
          <w:sz w:val="28"/>
          <w:szCs w:val="28"/>
        </w:rPr>
        <w:t>≈0,5-0,6</w:t>
      </w:r>
      <w:r>
        <w:rPr>
          <w:position w:val="-12"/>
          <w:sz w:val="28"/>
          <w:szCs w:val="28"/>
        </w:rPr>
        <w:object>
          <v:shape id="_x0000_i1030" o:spt="75" type="#_x0000_t75" style="height:16.15pt;width:18.6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7">
            <o:LockedField>false</o:LockedField>
          </o:OLEObject>
        </w:object>
      </w:r>
      <w:r>
        <w:rPr>
          <w:sz w:val="28"/>
          <w:szCs w:val="28"/>
        </w:rPr>
        <w:t>. Энергия активации самодиффузии приближенно пропорциональна темпе</w:t>
      </w:r>
      <w:r>
        <w:rPr>
          <w:sz w:val="28"/>
          <w:szCs w:val="28"/>
        </w:rPr>
        <w:softHyphen/>
      </w:r>
      <w:r>
        <w:rPr>
          <w:sz w:val="28"/>
          <w:szCs w:val="28"/>
        </w:rPr>
        <w:t xml:space="preserve">ратуре плавления металла </w:t>
      </w:r>
      <w:r>
        <w:rPr>
          <w:position w:val="-10"/>
          <w:sz w:val="28"/>
          <w:szCs w:val="28"/>
        </w:rPr>
        <w:object>
          <v:shape id="_x0000_i1031" o:spt="75" type="#_x0000_t75" style="height:14.9pt;width:16.15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19">
            <o:LockedField>false</o:LockedField>
          </o:OLEObject>
        </w:object>
      </w:r>
      <w:r>
        <w:rPr>
          <w:sz w:val="28"/>
          <w:szCs w:val="28"/>
        </w:rPr>
        <w:t xml:space="preserve">. Известно эмпирическое соотношение </w:t>
      </w:r>
      <w:r>
        <w:rPr>
          <w:position w:val="-12"/>
          <w:sz w:val="28"/>
          <w:szCs w:val="28"/>
        </w:rPr>
        <w:object>
          <v:shape id="_x0000_i1032" o:spt="75" type="#_x0000_t75" style="height:16.15pt;width:34.75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21">
            <o:LockedField>false</o:LockedField>
          </o:OLEObject>
        </w:object>
      </w:r>
      <w:r>
        <w:rPr>
          <w:sz w:val="28"/>
          <w:szCs w:val="28"/>
        </w:rPr>
        <w:t xml:space="preserve">=150 Дж/К. Энергия активации самодиффузии будет равна </w:t>
      </w:r>
      <w:r>
        <w:rPr>
          <w:position w:val="-16"/>
          <w:sz w:val="28"/>
          <w:szCs w:val="28"/>
        </w:rPr>
        <w:object>
          <v:shape id="_x0000_i1033" o:spt="75" type="#_x0000_t75" style="height:21.1pt;width:146.5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sz w:val="28"/>
          <w:szCs w:val="28"/>
        </w:rPr>
        <w:t xml:space="preserve"> Дж. Энергия образования вакансий составит </w:t>
      </w:r>
      <w:r>
        <w:rPr>
          <w:position w:val="-12"/>
          <w:sz w:val="28"/>
          <w:szCs w:val="28"/>
        </w:rPr>
        <w:object>
          <v:shape id="_x0000_i1034" o:spt="75" type="#_x0000_t75" style="height:18.6pt;width:150.2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sz w:val="28"/>
          <w:szCs w:val="28"/>
        </w:rPr>
        <w:t xml:space="preserve"> Дж.</w:t>
      </w:r>
    </w:p>
    <w:p w14:paraId="72925193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ПК-6, ПК-7</w:t>
      </w:r>
    </w:p>
    <w:p w14:paraId="129601B9">
      <w:pPr>
        <w:jc w:val="both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15ABE0B4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sz w:val="28"/>
          <w:szCs w:val="28"/>
        </w:rPr>
        <w:t xml:space="preserve">Для плоского напряженного состояния образца из бронзы </w:t>
      </w:r>
      <w:r>
        <w:rPr>
          <w:color w:val="1A1A1A"/>
          <w:sz w:val="28"/>
          <w:szCs w:val="28"/>
          <w:shd w:val="clear" w:color="auto" w:fill="FFFFFF"/>
        </w:rPr>
        <w:t xml:space="preserve">БрОФ 6,5-0,4 </w:t>
      </w:r>
      <w:r>
        <w:rPr>
          <w:sz w:val="28"/>
          <w:szCs w:val="28"/>
        </w:rPr>
        <w:t>рассчитать величину раскрытия вершины трещины, если коэффициент интенсивности напряжений равен 0,024 МПа м</w:t>
      </w:r>
      <w:r>
        <w:rPr>
          <w:sz w:val="28"/>
          <w:szCs w:val="28"/>
          <w:vertAlign w:val="superscript"/>
        </w:rPr>
        <w:t>1/2</w:t>
      </w:r>
      <w:r>
        <w:rPr>
          <w:sz w:val="28"/>
          <w:szCs w:val="28"/>
        </w:rPr>
        <w:t xml:space="preserve">, модель упругости 110 ГПа, предел текучести 84 МПа.  </w:t>
      </w:r>
    </w:p>
    <w:p w14:paraId="1252F298">
      <w:pPr>
        <w:pStyle w:val="2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15 мин. </w:t>
      </w:r>
    </w:p>
    <w:p w14:paraId="07B5EFD8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Критерии оценивания: полное содержательное соответствие приведенному ниже пояснению: </w:t>
      </w:r>
    </w:p>
    <w:p w14:paraId="774C233D">
      <w:pPr>
        <w:pStyle w:val="23"/>
        <w:tabs>
          <w:tab w:val="left" w:pos="0"/>
        </w:tabs>
        <w:ind w:right="110" w:firstLine="709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Величина раскрытия у вершины трещины определяется по формуле:</w:t>
      </w:r>
    </w:p>
    <w:p w14:paraId="3FE6AB50">
      <w:pPr>
        <w:ind w:firstLine="709"/>
        <w:jc w:val="center"/>
        <w:rPr>
          <w:sz w:val="20"/>
          <w:szCs w:val="20"/>
        </w:rPr>
      </w:pPr>
      <w:r>
        <w:rPr>
          <w:position w:val="-34"/>
          <w:sz w:val="20"/>
          <w:szCs w:val="20"/>
        </w:rPr>
        <w:object>
          <v:shape id="_x0000_i1035" o:spt="75" type="#_x0000_t75" style="height:34.75pt;width:45.95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00AF37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position w:val="-12"/>
          <w:sz w:val="28"/>
          <w:szCs w:val="28"/>
        </w:rPr>
        <w:object>
          <v:shape id="_x0000_i1036" o:spt="75" type="#_x0000_t75" style="height:16.15pt;width:14.9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sz w:val="28"/>
          <w:szCs w:val="28"/>
        </w:rPr>
        <w:t xml:space="preserve"> - предел текучести;</w:t>
      </w:r>
    </w:p>
    <w:p w14:paraId="4CFAE0B1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Е</w:t>
      </w:r>
      <w:r>
        <w:rPr>
          <w:sz w:val="28"/>
          <w:szCs w:val="28"/>
        </w:rPr>
        <w:t xml:space="preserve"> – модуль упругости;</w:t>
      </w:r>
    </w:p>
    <w:p w14:paraId="5DDEF330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К</w:t>
      </w:r>
      <w:r>
        <w:rPr>
          <w:i/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–коэффициент интенсивности напряжений.</w:t>
      </w:r>
    </w:p>
    <w:p w14:paraId="62CCFB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этой формуле рассчитываем величину раскрытия трещины:</w:t>
      </w:r>
    </w:p>
    <w:p w14:paraId="278655D6">
      <w:pPr>
        <w:jc w:val="center"/>
        <w:rPr>
          <w:sz w:val="28"/>
          <w:szCs w:val="28"/>
        </w:rPr>
      </w:pPr>
      <w:r>
        <w:rPr>
          <w:position w:val="-28"/>
          <w:sz w:val="28"/>
          <w:szCs w:val="28"/>
        </w:rPr>
        <w:object>
          <v:shape id="_x0000_i1037" o:spt="75" type="#_x0000_t75" style="height:38.5pt;width:158.9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 w14:paraId="594E3826">
      <w:pPr>
        <w:pStyle w:val="23"/>
        <w:tabs>
          <w:tab w:val="left" w:pos="0"/>
        </w:tabs>
        <w:ind w:right="110"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ПК-6, ПК-7</w:t>
      </w:r>
    </w:p>
    <w:p w14:paraId="555D2D4B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E75ECE6">
      <w:pPr>
        <w:spacing w:before="75"/>
        <w:ind w:right="1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10" w:h="16840"/>
      <w:pgMar w:top="1040" w:right="850" w:bottom="1200" w:left="1417" w:header="0" w:footer="100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99F81">
    <w:pPr>
      <w:pStyle w:val="17"/>
      <w:jc w:val="center"/>
    </w:pPr>
  </w:p>
  <w:p w14:paraId="27C50A32">
    <w:pPr>
      <w:pStyle w:val="15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027A6"/>
    <w:rsid w:val="00011ADD"/>
    <w:rsid w:val="00013097"/>
    <w:rsid w:val="00021D58"/>
    <w:rsid w:val="00035D30"/>
    <w:rsid w:val="00037A88"/>
    <w:rsid w:val="0004338E"/>
    <w:rsid w:val="000451A0"/>
    <w:rsid w:val="00045E19"/>
    <w:rsid w:val="00046F5D"/>
    <w:rsid w:val="000547DA"/>
    <w:rsid w:val="0006467F"/>
    <w:rsid w:val="00065A47"/>
    <w:rsid w:val="00065B95"/>
    <w:rsid w:val="0006640D"/>
    <w:rsid w:val="00066DE5"/>
    <w:rsid w:val="00070571"/>
    <w:rsid w:val="0007235D"/>
    <w:rsid w:val="0007393B"/>
    <w:rsid w:val="00084825"/>
    <w:rsid w:val="00091A7F"/>
    <w:rsid w:val="00097912"/>
    <w:rsid w:val="000B014C"/>
    <w:rsid w:val="000B2383"/>
    <w:rsid w:val="000B2E37"/>
    <w:rsid w:val="000B53BA"/>
    <w:rsid w:val="000D4678"/>
    <w:rsid w:val="000E303F"/>
    <w:rsid w:val="000F166E"/>
    <w:rsid w:val="000F23DF"/>
    <w:rsid w:val="000F2832"/>
    <w:rsid w:val="001149D9"/>
    <w:rsid w:val="00120FC3"/>
    <w:rsid w:val="001230AA"/>
    <w:rsid w:val="0012500C"/>
    <w:rsid w:val="0012675C"/>
    <w:rsid w:val="00130A50"/>
    <w:rsid w:val="00137644"/>
    <w:rsid w:val="00142A8D"/>
    <w:rsid w:val="00143650"/>
    <w:rsid w:val="00154B5E"/>
    <w:rsid w:val="00155743"/>
    <w:rsid w:val="00164ECF"/>
    <w:rsid w:val="00167517"/>
    <w:rsid w:val="00171709"/>
    <w:rsid w:val="001934B0"/>
    <w:rsid w:val="001941FE"/>
    <w:rsid w:val="001C5A0D"/>
    <w:rsid w:val="001D4C83"/>
    <w:rsid w:val="0020168F"/>
    <w:rsid w:val="00202752"/>
    <w:rsid w:val="0020393B"/>
    <w:rsid w:val="00211F95"/>
    <w:rsid w:val="002164B5"/>
    <w:rsid w:val="00216AB7"/>
    <w:rsid w:val="0021726C"/>
    <w:rsid w:val="00223133"/>
    <w:rsid w:val="00224AD7"/>
    <w:rsid w:val="002332B4"/>
    <w:rsid w:val="00236113"/>
    <w:rsid w:val="00241398"/>
    <w:rsid w:val="00254C14"/>
    <w:rsid w:val="002608EA"/>
    <w:rsid w:val="002626AC"/>
    <w:rsid w:val="002649D1"/>
    <w:rsid w:val="00264CDA"/>
    <w:rsid w:val="00281663"/>
    <w:rsid w:val="00284809"/>
    <w:rsid w:val="00290F58"/>
    <w:rsid w:val="00295A49"/>
    <w:rsid w:val="002A7D82"/>
    <w:rsid w:val="002C2419"/>
    <w:rsid w:val="002C54A3"/>
    <w:rsid w:val="002D6FB0"/>
    <w:rsid w:val="002E32BD"/>
    <w:rsid w:val="002E59D5"/>
    <w:rsid w:val="00327E16"/>
    <w:rsid w:val="003308A6"/>
    <w:rsid w:val="00332464"/>
    <w:rsid w:val="00370C7F"/>
    <w:rsid w:val="003736FE"/>
    <w:rsid w:val="00377CBE"/>
    <w:rsid w:val="00381F61"/>
    <w:rsid w:val="003B67F3"/>
    <w:rsid w:val="003C4180"/>
    <w:rsid w:val="003D1A07"/>
    <w:rsid w:val="003D1A89"/>
    <w:rsid w:val="003D7CF6"/>
    <w:rsid w:val="003E4146"/>
    <w:rsid w:val="003E798F"/>
    <w:rsid w:val="00403428"/>
    <w:rsid w:val="0040395B"/>
    <w:rsid w:val="00404981"/>
    <w:rsid w:val="0042202A"/>
    <w:rsid w:val="004256ED"/>
    <w:rsid w:val="00433D3D"/>
    <w:rsid w:val="00450511"/>
    <w:rsid w:val="00455910"/>
    <w:rsid w:val="00455F3A"/>
    <w:rsid w:val="00460490"/>
    <w:rsid w:val="004855D3"/>
    <w:rsid w:val="004A4134"/>
    <w:rsid w:val="004C762D"/>
    <w:rsid w:val="004D30A3"/>
    <w:rsid w:val="004D32C8"/>
    <w:rsid w:val="004E38A5"/>
    <w:rsid w:val="004F4E28"/>
    <w:rsid w:val="0051007A"/>
    <w:rsid w:val="00524F47"/>
    <w:rsid w:val="00531710"/>
    <w:rsid w:val="005449D2"/>
    <w:rsid w:val="00547B7B"/>
    <w:rsid w:val="00565D59"/>
    <w:rsid w:val="00565F51"/>
    <w:rsid w:val="00577430"/>
    <w:rsid w:val="0058456D"/>
    <w:rsid w:val="0059313A"/>
    <w:rsid w:val="00595AC9"/>
    <w:rsid w:val="005B14AF"/>
    <w:rsid w:val="005B2B6D"/>
    <w:rsid w:val="005B59DC"/>
    <w:rsid w:val="005B6B62"/>
    <w:rsid w:val="005D11D4"/>
    <w:rsid w:val="005D2776"/>
    <w:rsid w:val="005E0A76"/>
    <w:rsid w:val="005E6EF8"/>
    <w:rsid w:val="00624E15"/>
    <w:rsid w:val="006364E0"/>
    <w:rsid w:val="00640E58"/>
    <w:rsid w:val="00650F94"/>
    <w:rsid w:val="00663E23"/>
    <w:rsid w:val="006746DD"/>
    <w:rsid w:val="0067540F"/>
    <w:rsid w:val="006861E5"/>
    <w:rsid w:val="006921AE"/>
    <w:rsid w:val="006A35DC"/>
    <w:rsid w:val="006B2C8A"/>
    <w:rsid w:val="006B5EB9"/>
    <w:rsid w:val="006C3518"/>
    <w:rsid w:val="006C3EF2"/>
    <w:rsid w:val="006D637B"/>
    <w:rsid w:val="006E2E6C"/>
    <w:rsid w:val="006F6446"/>
    <w:rsid w:val="006F6C97"/>
    <w:rsid w:val="00703555"/>
    <w:rsid w:val="0070692A"/>
    <w:rsid w:val="0070779F"/>
    <w:rsid w:val="0072371D"/>
    <w:rsid w:val="00727A4C"/>
    <w:rsid w:val="007315D1"/>
    <w:rsid w:val="00743ABB"/>
    <w:rsid w:val="0075129A"/>
    <w:rsid w:val="007572BD"/>
    <w:rsid w:val="007713CE"/>
    <w:rsid w:val="00790CFE"/>
    <w:rsid w:val="007A7048"/>
    <w:rsid w:val="007B1403"/>
    <w:rsid w:val="007B640B"/>
    <w:rsid w:val="007D180C"/>
    <w:rsid w:val="007D6EB5"/>
    <w:rsid w:val="007D7EEE"/>
    <w:rsid w:val="00821798"/>
    <w:rsid w:val="00826024"/>
    <w:rsid w:val="00830702"/>
    <w:rsid w:val="0083376D"/>
    <w:rsid w:val="008343D4"/>
    <w:rsid w:val="00842F5E"/>
    <w:rsid w:val="00843111"/>
    <w:rsid w:val="00844C4F"/>
    <w:rsid w:val="00861B30"/>
    <w:rsid w:val="00863107"/>
    <w:rsid w:val="00863625"/>
    <w:rsid w:val="0087396B"/>
    <w:rsid w:val="00873A67"/>
    <w:rsid w:val="00881A81"/>
    <w:rsid w:val="00891F48"/>
    <w:rsid w:val="008920AF"/>
    <w:rsid w:val="008A244D"/>
    <w:rsid w:val="008B3BDA"/>
    <w:rsid w:val="008C43AA"/>
    <w:rsid w:val="008C6455"/>
    <w:rsid w:val="008D4012"/>
    <w:rsid w:val="008E129B"/>
    <w:rsid w:val="008E1EAB"/>
    <w:rsid w:val="008E276F"/>
    <w:rsid w:val="008E3484"/>
    <w:rsid w:val="008F1A7A"/>
    <w:rsid w:val="008F437E"/>
    <w:rsid w:val="008F4E9A"/>
    <w:rsid w:val="008F58D0"/>
    <w:rsid w:val="00926099"/>
    <w:rsid w:val="0092703E"/>
    <w:rsid w:val="0093214D"/>
    <w:rsid w:val="0093485E"/>
    <w:rsid w:val="00941A3F"/>
    <w:rsid w:val="00942004"/>
    <w:rsid w:val="00960BA3"/>
    <w:rsid w:val="00964917"/>
    <w:rsid w:val="00966955"/>
    <w:rsid w:val="009712BA"/>
    <w:rsid w:val="00975EAE"/>
    <w:rsid w:val="00987D5D"/>
    <w:rsid w:val="0099371F"/>
    <w:rsid w:val="009A5B42"/>
    <w:rsid w:val="009C4FE2"/>
    <w:rsid w:val="009D16E7"/>
    <w:rsid w:val="009D4109"/>
    <w:rsid w:val="009D5911"/>
    <w:rsid w:val="009F0952"/>
    <w:rsid w:val="009F26D9"/>
    <w:rsid w:val="00A10B62"/>
    <w:rsid w:val="00A13A08"/>
    <w:rsid w:val="00A13CC3"/>
    <w:rsid w:val="00A256E3"/>
    <w:rsid w:val="00A4209C"/>
    <w:rsid w:val="00A46741"/>
    <w:rsid w:val="00A63686"/>
    <w:rsid w:val="00AA2CC3"/>
    <w:rsid w:val="00AA36B6"/>
    <w:rsid w:val="00AA5250"/>
    <w:rsid w:val="00AC6DCD"/>
    <w:rsid w:val="00AD3E68"/>
    <w:rsid w:val="00AE552E"/>
    <w:rsid w:val="00B25EFF"/>
    <w:rsid w:val="00B40C21"/>
    <w:rsid w:val="00B40D38"/>
    <w:rsid w:val="00B55EC7"/>
    <w:rsid w:val="00B647F2"/>
    <w:rsid w:val="00B66FE9"/>
    <w:rsid w:val="00B73EC4"/>
    <w:rsid w:val="00B84D74"/>
    <w:rsid w:val="00B87A2F"/>
    <w:rsid w:val="00B934F9"/>
    <w:rsid w:val="00B943A5"/>
    <w:rsid w:val="00BA324C"/>
    <w:rsid w:val="00BA3D12"/>
    <w:rsid w:val="00BB26C1"/>
    <w:rsid w:val="00BC1D4A"/>
    <w:rsid w:val="00BD1387"/>
    <w:rsid w:val="00C0373E"/>
    <w:rsid w:val="00C33E51"/>
    <w:rsid w:val="00C43529"/>
    <w:rsid w:val="00C445BC"/>
    <w:rsid w:val="00C504CB"/>
    <w:rsid w:val="00C55608"/>
    <w:rsid w:val="00C55A48"/>
    <w:rsid w:val="00C6038D"/>
    <w:rsid w:val="00C71446"/>
    <w:rsid w:val="00C76575"/>
    <w:rsid w:val="00C81037"/>
    <w:rsid w:val="00C83825"/>
    <w:rsid w:val="00C84699"/>
    <w:rsid w:val="00C962C3"/>
    <w:rsid w:val="00CC19C9"/>
    <w:rsid w:val="00CE26C2"/>
    <w:rsid w:val="00CE5570"/>
    <w:rsid w:val="00CE7C14"/>
    <w:rsid w:val="00D21D38"/>
    <w:rsid w:val="00D2293F"/>
    <w:rsid w:val="00D315CC"/>
    <w:rsid w:val="00D34FE6"/>
    <w:rsid w:val="00D40233"/>
    <w:rsid w:val="00D453B4"/>
    <w:rsid w:val="00D533DD"/>
    <w:rsid w:val="00D62DAE"/>
    <w:rsid w:val="00D6488F"/>
    <w:rsid w:val="00D679EE"/>
    <w:rsid w:val="00D94375"/>
    <w:rsid w:val="00D97C37"/>
    <w:rsid w:val="00DA08C9"/>
    <w:rsid w:val="00DA5682"/>
    <w:rsid w:val="00DB25CC"/>
    <w:rsid w:val="00DE755E"/>
    <w:rsid w:val="00E033CC"/>
    <w:rsid w:val="00E12467"/>
    <w:rsid w:val="00E17CC2"/>
    <w:rsid w:val="00E22C28"/>
    <w:rsid w:val="00E23DDE"/>
    <w:rsid w:val="00E35678"/>
    <w:rsid w:val="00E40BEB"/>
    <w:rsid w:val="00E41057"/>
    <w:rsid w:val="00E42585"/>
    <w:rsid w:val="00E755A1"/>
    <w:rsid w:val="00E82458"/>
    <w:rsid w:val="00E8709A"/>
    <w:rsid w:val="00E9408C"/>
    <w:rsid w:val="00E955CB"/>
    <w:rsid w:val="00EA3288"/>
    <w:rsid w:val="00ED45AF"/>
    <w:rsid w:val="00ED5A82"/>
    <w:rsid w:val="00EE0C8D"/>
    <w:rsid w:val="00EE2F7D"/>
    <w:rsid w:val="00F00539"/>
    <w:rsid w:val="00F14DDE"/>
    <w:rsid w:val="00F222DD"/>
    <w:rsid w:val="00F22538"/>
    <w:rsid w:val="00F42149"/>
    <w:rsid w:val="00F457E4"/>
    <w:rsid w:val="00F54403"/>
    <w:rsid w:val="00F73B36"/>
    <w:rsid w:val="00F762D2"/>
    <w:rsid w:val="00F80140"/>
    <w:rsid w:val="00F80409"/>
    <w:rsid w:val="00F80C56"/>
    <w:rsid w:val="00F8425E"/>
    <w:rsid w:val="00FA169C"/>
    <w:rsid w:val="00FB2C08"/>
    <w:rsid w:val="00FC148D"/>
    <w:rsid w:val="00FC3A48"/>
    <w:rsid w:val="00FD5C3C"/>
    <w:rsid w:val="00FE552F"/>
    <w:rsid w:val="7427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4"/>
    <w:basedOn w:val="1"/>
    <w:next w:val="1"/>
    <w:link w:val="31"/>
    <w:qFormat/>
    <w:uiPriority w:val="0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uiPriority w:val="99"/>
    <w:rPr>
      <w:sz w:val="16"/>
      <w:szCs w:val="16"/>
    </w:rPr>
  </w:style>
  <w:style w:type="character" w:styleId="7">
    <w:name w:val="Hyperlink"/>
    <w:basedOn w:val="4"/>
    <w:unhideWhenUsed/>
    <w:uiPriority w:val="99"/>
    <w:rPr>
      <w:color w:val="0000FF"/>
      <w:u w:val="single"/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Balloon Text"/>
    <w:basedOn w:val="1"/>
    <w:link w:val="40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10">
    <w:name w:val="Body Text 2"/>
    <w:basedOn w:val="1"/>
    <w:link w:val="30"/>
    <w:unhideWhenUsed/>
    <w:uiPriority w:val="99"/>
    <w:pPr>
      <w:spacing w:after="120" w:line="480" w:lineRule="auto"/>
    </w:pPr>
  </w:style>
  <w:style w:type="paragraph" w:styleId="11">
    <w:name w:val="Body Text Indent 3"/>
    <w:basedOn w:val="1"/>
    <w:link w:val="37"/>
    <w:semiHidden/>
    <w:unhideWhenUsed/>
    <w:uiPriority w:val="99"/>
    <w:pPr>
      <w:spacing w:after="120"/>
      <w:ind w:left="283"/>
    </w:pPr>
    <w:rPr>
      <w:sz w:val="16"/>
      <w:szCs w:val="16"/>
    </w:rPr>
  </w:style>
  <w:style w:type="paragraph" w:styleId="12">
    <w:name w:val="annotation text"/>
    <w:basedOn w:val="1"/>
    <w:link w:val="38"/>
    <w:semiHidden/>
    <w:unhideWhenUsed/>
    <w:qFormat/>
    <w:uiPriority w:val="99"/>
    <w:rPr>
      <w:sz w:val="20"/>
      <w:szCs w:val="20"/>
    </w:rPr>
  </w:style>
  <w:style w:type="paragraph" w:styleId="13">
    <w:name w:val="annotation subject"/>
    <w:basedOn w:val="12"/>
    <w:next w:val="12"/>
    <w:link w:val="39"/>
    <w:semiHidden/>
    <w:unhideWhenUsed/>
    <w:uiPriority w:val="99"/>
    <w:rPr>
      <w:b/>
      <w:bCs/>
    </w:rPr>
  </w:style>
  <w:style w:type="paragraph" w:styleId="14">
    <w:name w:val="header"/>
    <w:basedOn w:val="1"/>
    <w:link w:val="25"/>
    <w:unhideWhenUsed/>
    <w:uiPriority w:val="0"/>
    <w:pPr>
      <w:tabs>
        <w:tab w:val="center" w:pos="4677"/>
        <w:tab w:val="right" w:pos="9355"/>
      </w:tabs>
    </w:pPr>
  </w:style>
  <w:style w:type="paragraph" w:styleId="15">
    <w:name w:val="Body Text"/>
    <w:basedOn w:val="1"/>
    <w:qFormat/>
    <w:uiPriority w:val="1"/>
    <w:rPr>
      <w:sz w:val="28"/>
      <w:szCs w:val="28"/>
    </w:rPr>
  </w:style>
  <w:style w:type="paragraph" w:styleId="16">
    <w:name w:val="Body Text Indent"/>
    <w:basedOn w:val="1"/>
    <w:link w:val="33"/>
    <w:semiHidden/>
    <w:unhideWhenUsed/>
    <w:uiPriority w:val="99"/>
    <w:pPr>
      <w:spacing w:after="120"/>
      <w:ind w:left="283"/>
    </w:pPr>
  </w:style>
  <w:style w:type="paragraph" w:styleId="17">
    <w:name w:val="footer"/>
    <w:basedOn w:val="1"/>
    <w:link w:val="26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9">
    <w:name w:val="Body Text 3"/>
    <w:basedOn w:val="1"/>
    <w:link w:val="32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0">
    <w:name w:val="Body Text Indent 2"/>
    <w:basedOn w:val="1"/>
    <w:link w:val="35"/>
    <w:unhideWhenUsed/>
    <w:qFormat/>
    <w:uiPriority w:val="0"/>
    <w:pPr>
      <w:spacing w:after="120" w:line="480" w:lineRule="auto"/>
      <w:ind w:left="283"/>
    </w:pPr>
  </w:style>
  <w:style w:type="table" w:styleId="21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3">
    <w:name w:val="List Paragraph"/>
    <w:basedOn w:val="1"/>
    <w:qFormat/>
    <w:uiPriority w:val="1"/>
  </w:style>
  <w:style w:type="paragraph" w:customStyle="1" w:styleId="24">
    <w:name w:val="Table Paragraph"/>
    <w:basedOn w:val="1"/>
    <w:qFormat/>
    <w:uiPriority w:val="1"/>
  </w:style>
  <w:style w:type="character" w:customStyle="1" w:styleId="25">
    <w:name w:val="Верхний колонтитул Знак"/>
    <w:basedOn w:val="4"/>
    <w:link w:val="14"/>
    <w:qFormat/>
    <w:uiPriority w:val="0"/>
    <w:rPr>
      <w:rFonts w:ascii="Times New Roman" w:hAnsi="Times New Roman" w:eastAsia="Times New Roman" w:cs="Times New Roman"/>
      <w:lang w:val="ru-RU"/>
    </w:rPr>
  </w:style>
  <w:style w:type="character" w:customStyle="1" w:styleId="26">
    <w:name w:val="Нижний колонтитул Знак"/>
    <w:basedOn w:val="4"/>
    <w:link w:val="17"/>
    <w:uiPriority w:val="99"/>
    <w:rPr>
      <w:rFonts w:ascii="Times New Roman" w:hAnsi="Times New Roman" w:eastAsia="Times New Roman" w:cs="Times New Roman"/>
      <w:lang w:val="ru-RU"/>
    </w:rPr>
  </w:style>
  <w:style w:type="paragraph" w:customStyle="1" w:styleId="27">
    <w:name w:val="Default"/>
    <w:qFormat/>
    <w:uiPriority w:val="0"/>
    <w:pPr>
      <w:widowControl/>
      <w:autoSpaceDE w:val="0"/>
      <w:autoSpaceDN w:val="0"/>
      <w:adjustRightInd w:val="0"/>
    </w:pPr>
    <w:rPr>
      <w:rFonts w:ascii="Calibri" w:hAnsi="Calibri" w:cs="Calibri" w:eastAsiaTheme="minorHAnsi"/>
      <w:color w:val="000000"/>
      <w:sz w:val="24"/>
      <w:szCs w:val="24"/>
      <w:lang w:val="ru-RU" w:eastAsia="en-US" w:bidi="ar-SA"/>
    </w:rPr>
  </w:style>
  <w:style w:type="paragraph" w:customStyle="1" w:styleId="28">
    <w:name w:val="Заголовок 11"/>
    <w:basedOn w:val="1"/>
    <w:qFormat/>
    <w:uiPriority w:val="1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29">
    <w:name w:val="futurismarkdown-paragraph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Основной текст 2 Знак"/>
    <w:basedOn w:val="4"/>
    <w:link w:val="10"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1">
    <w:name w:val="Заголовок 4 Знак"/>
    <w:basedOn w:val="4"/>
    <w:link w:val="3"/>
    <w:uiPriority w:val="0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customStyle="1" w:styleId="32">
    <w:name w:val="Основной текст 3 Знак"/>
    <w:basedOn w:val="4"/>
    <w:link w:val="19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3">
    <w:name w:val="Основной текст с отступом Знак"/>
    <w:basedOn w:val="4"/>
    <w:link w:val="16"/>
    <w:semiHidden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4">
    <w:name w:val="kursiv"/>
    <w:basedOn w:val="4"/>
    <w:qFormat/>
    <w:uiPriority w:val="0"/>
    <w:rPr>
      <w:i/>
      <w:color w:val="FF9900"/>
    </w:rPr>
  </w:style>
  <w:style w:type="character" w:customStyle="1" w:styleId="35">
    <w:name w:val="Основной текст с отступом 2 Знак"/>
    <w:basedOn w:val="4"/>
    <w:link w:val="20"/>
    <w:qFormat/>
    <w:uiPriority w:val="0"/>
    <w:rPr>
      <w:rFonts w:ascii="Times New Roman" w:hAnsi="Times New Roman" w:eastAsia="Times New Roman" w:cs="Times New Roman"/>
      <w:lang w:val="ru-RU"/>
    </w:rPr>
  </w:style>
  <w:style w:type="character" w:customStyle="1" w:styleId="36">
    <w:name w:val="Заголовок 1 Знак"/>
    <w:basedOn w:val="4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ru-RU"/>
    </w:rPr>
  </w:style>
  <w:style w:type="character" w:customStyle="1" w:styleId="37">
    <w:name w:val="Основной текст с отступом 3 Знак"/>
    <w:basedOn w:val="4"/>
    <w:link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8">
    <w:name w:val="Текст примечания Знак"/>
    <w:basedOn w:val="4"/>
    <w:link w:val="12"/>
    <w:semiHidden/>
    <w:uiPriority w:val="99"/>
    <w:rPr>
      <w:rFonts w:ascii="Times New Roman" w:hAnsi="Times New Roman" w:eastAsia="Times New Roman" w:cs="Times New Roman"/>
      <w:sz w:val="20"/>
      <w:szCs w:val="20"/>
      <w:lang w:val="ru-RU"/>
    </w:rPr>
  </w:style>
  <w:style w:type="character" w:customStyle="1" w:styleId="39">
    <w:name w:val="Тема примечания Знак"/>
    <w:basedOn w:val="38"/>
    <w:link w:val="13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val="ru-RU"/>
    </w:rPr>
  </w:style>
  <w:style w:type="character" w:customStyle="1" w:styleId="40">
    <w:name w:val="Текст выноски Знак"/>
    <w:basedOn w:val="4"/>
    <w:link w:val="9"/>
    <w:semiHidden/>
    <w:qFormat/>
    <w:uiPriority w:val="99"/>
    <w:rPr>
      <w:rFonts w:ascii="Segoe UI" w:hAnsi="Segoe UI" w:eastAsia="Times New Roman" w:cs="Segoe UI"/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3.wmf"/><Relationship Id="rId7" Type="http://schemas.openxmlformats.org/officeDocument/2006/relationships/oleObject" Target="embeddings/oleObject1.bin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footer" Target="foot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8.wmf"/><Relationship Id="rId17" Type="http://schemas.openxmlformats.org/officeDocument/2006/relationships/oleObject" Target="embeddings/oleObject6.bin"/><Relationship Id="rId16" Type="http://schemas.openxmlformats.org/officeDocument/2006/relationships/image" Target="media/image7.wmf"/><Relationship Id="rId15" Type="http://schemas.openxmlformats.org/officeDocument/2006/relationships/oleObject" Target="embeddings/oleObject5.bin"/><Relationship Id="rId14" Type="http://schemas.openxmlformats.org/officeDocument/2006/relationships/image" Target="media/image6.wmf"/><Relationship Id="rId13" Type="http://schemas.openxmlformats.org/officeDocument/2006/relationships/oleObject" Target="embeddings/oleObject4.bin"/><Relationship Id="rId12" Type="http://schemas.openxmlformats.org/officeDocument/2006/relationships/image" Target="media/image5.wmf"/><Relationship Id="rId11" Type="http://schemas.openxmlformats.org/officeDocument/2006/relationships/oleObject" Target="embeddings/oleObject3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2DA79E-4932-4102-90BC-DA7C95EBBA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1118</Words>
  <Characters>6373</Characters>
  <Lines>53</Lines>
  <Paragraphs>14</Paragraphs>
  <TotalTime>0</TotalTime>
  <ScaleCrop>false</ScaleCrop>
  <LinksUpToDate>false</LinksUpToDate>
  <CharactersWithSpaces>7477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2025-03-24T07:30:00Z</dcterms:created>
  <dc:creator>ryabic</dc:creator>
  <cp:lastModifiedBy>user</cp:lastModifiedBy>
  <cp:lastPrinted>2025-03-24T07:30:00Z</cp:lastPrinted>
  <dcterms:modified xsi:type="dcterms:W3CDTF">2025-04-07T18:17:22Z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  <property fmtid="{D5CDD505-2E9C-101B-9397-08002B2CF9AE}" pid="5" name="MTWinEqns">
    <vt:bool>true</vt:bool>
  </property>
  <property fmtid="{D5CDD505-2E9C-101B-9397-08002B2CF9AE}" pid="6" name="KSOProductBuildVer">
    <vt:lpwstr>1049-12.2.0.20782</vt:lpwstr>
  </property>
  <property fmtid="{D5CDD505-2E9C-101B-9397-08002B2CF9AE}" pid="7" name="ICV">
    <vt:lpwstr>AF199AF82012418D8B5E1BAA7B3C9979_12</vt:lpwstr>
  </property>
</Properties>
</file>